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FICHA TÉCNICA</w:t>
      </w:r>
    </w:p>
    <w:p w:rsidR="00000000" w:rsidDel="00000000" w:rsidP="00000000" w:rsidRDefault="00000000" w:rsidRPr="00000000" w14:paraId="00000002">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sz w:val="24"/>
          <w:szCs w:val="24"/>
        </w:rPr>
      </w:pPr>
      <w:r w:rsidDel="00000000" w:rsidR="00000000" w:rsidRPr="00000000">
        <w:rPr>
          <w:rtl w:val="0"/>
        </w:rPr>
      </w:r>
    </w:p>
    <w:tbl>
      <w:tblPr>
        <w:tblStyle w:val="Table1"/>
        <w:tblW w:w="14025.0" w:type="dxa"/>
        <w:jc w:val="left"/>
        <w:tblInd w:w="-645.0" w:type="dxa"/>
        <w:tblLayout w:type="fixed"/>
        <w:tblLook w:val="0400"/>
      </w:tblPr>
      <w:tblGrid>
        <w:gridCol w:w="4950"/>
        <w:gridCol w:w="4140"/>
        <w:gridCol w:w="4935"/>
        <w:tblGridChange w:id="0">
          <w:tblGrid>
            <w:gridCol w:w="4950"/>
            <w:gridCol w:w="4140"/>
            <w:gridCol w:w="4935"/>
          </w:tblGrid>
        </w:tblGridChange>
      </w:tblGrid>
      <w:tr>
        <w:trPr>
          <w:cantSplit w:val="0"/>
          <w:trHeight w:val="630"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2667000"/>
                  <wp:effectExtent b="0" l="0" r="0" t="0"/>
                  <wp:docPr id="34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009900" cy="26670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Sistema Geoestadístico del Poder Judicial del Estado de México</w:t>
            </w:r>
          </w:p>
        </w:tc>
      </w:tr>
      <w:tr>
        <w:trPr>
          <w:cantSplit w:val="0"/>
          <w:trHeight w:val="61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Tribunal Superior de Justicia del Estado de México</w:t>
            </w:r>
          </w:p>
        </w:tc>
      </w:tr>
      <w:tr>
        <w:trPr>
          <w:cantSplit w:val="0"/>
          <w:trHeight w:val="96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General de Innovación y Desarrollo Tecnológico del Poder Judicial del Estado de México</w:t>
            </w:r>
          </w:p>
        </w:tc>
      </w:tr>
      <w:tr>
        <w:trPr>
          <w:cantSplit w:val="0"/>
          <w:trHeight w:val="69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u w:val="single"/>
                  <w:rtl w:val="0"/>
                </w:rPr>
                <w:t xml:space="preserve">https://infoestadisticapj.pjedomex.gob.mx/geoestadistica/Reporte/index2.html</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rtl w:val="0"/>
              </w:rPr>
              <w:t xml:space="preserve">100</w:t>
            </w:r>
            <w:r w:rsidDel="00000000" w:rsidR="00000000" w:rsidRPr="00000000">
              <w:rPr>
                <w:rtl w:val="0"/>
              </w:rPr>
            </w:r>
          </w:p>
        </w:tc>
      </w:tr>
      <w:tr>
        <w:trPr>
          <w:cantSplit w:val="0"/>
          <w:trHeight w:val="677.6909179687498"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spacing w:after="0" w:line="240" w:lineRule="auto"/>
              <w:jc w:val="center"/>
              <w:rPr>
                <w:rFonts w:ascii="Palatino Linotype" w:cs="Palatino Linotype" w:eastAsia="Palatino Linotype" w:hAnsi="Palatino Linotype"/>
                <w:b w:val="1"/>
                <w:i w:val="0"/>
                <w:smallCaps w:val="0"/>
                <w:strike w:val="0"/>
                <w:color w:val="000000"/>
                <w:u w:val="none"/>
                <w:vertAlign w:val="baseline"/>
              </w:rPr>
            </w:pPr>
            <w:r w:rsidDel="00000000" w:rsidR="00000000" w:rsidRPr="00000000">
              <w:rPr>
                <w:rFonts w:ascii="Palatino Linotype" w:cs="Palatino Linotype" w:eastAsia="Palatino Linotype" w:hAnsi="Palatino Linotype"/>
                <w:b w:val="1"/>
                <w:rtl w:val="0"/>
              </w:rPr>
              <w:t xml:space="preserve">Práctica reconocida en el año 2021</w:t>
            </w:r>
            <w:r w:rsidDel="00000000" w:rsidR="00000000" w:rsidRPr="00000000">
              <w:rPr>
                <w:rtl w:val="0"/>
              </w:rPr>
            </w:r>
          </w:p>
        </w:tc>
      </w:tr>
    </w:tbl>
    <w:p w:rsidR="00000000" w:rsidDel="00000000" w:rsidP="00000000" w:rsidRDefault="00000000" w:rsidRPr="00000000" w14:paraId="0000001C">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7170"/>
        <w:gridCol w:w="6735"/>
        <w:tblGridChange w:id="0">
          <w:tblGrid>
            <w:gridCol w:w="7170"/>
            <w:gridCol w:w="6735"/>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una herramienta Web diseñada de fácil acceso, a través de la cual los usuarios visualizan en un mapa de la entidad, diferentes niveles de desagregación toda la información detallada de juzgados y otras oficinas del Poder Judicial, además de obtener información estadística de interés. Promueve la participación ciudadana mediante una encuesta de satisfacción respecto de los contenidos publicados, presenta resultados en formato CSV.</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Brindar a las personas una herramienta de fácil acceso que permitiera la consulta y geolocalización de los órganos jurisdiccionales y unidades administrativas del Poder Judicial del Estado de México, además de dar información estadística.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3">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atender la demanda de solicitudes de información referente a estadísticas del Poder Judicial.</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tl w:val="0"/>
              </w:rPr>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Innovación: </w:t>
            </w:r>
          </w:p>
          <w:p w:rsidR="00000000" w:rsidDel="00000000" w:rsidP="00000000" w:rsidRDefault="00000000" w:rsidRPr="00000000" w14:paraId="00000026">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agregaron las variables de: </w:t>
            </w:r>
          </w:p>
          <w:p w:rsidR="00000000" w:rsidDel="00000000" w:rsidP="00000000" w:rsidRDefault="00000000" w:rsidRPr="00000000" w14:paraId="00000027">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•Número de sentencias definitivas, interlocutorias y mixtas</w:t>
            </w:r>
          </w:p>
          <w:p w:rsidR="00000000" w:rsidDel="00000000" w:rsidP="00000000" w:rsidRDefault="00000000" w:rsidRPr="00000000" w14:paraId="00000028">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•Número de promociones.</w:t>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•Número de exhortos.</w:t>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•Número de amparos.</w:t>
            </w:r>
          </w:p>
          <w:p w:rsidR="00000000" w:rsidDel="00000000" w:rsidP="00000000" w:rsidRDefault="00000000" w:rsidRPr="00000000" w14:paraId="0000002B">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•Número de convenios.</w:t>
            </w:r>
          </w:p>
          <w:p w:rsidR="00000000" w:rsidDel="00000000" w:rsidP="00000000" w:rsidRDefault="00000000" w:rsidRPr="00000000" w14:paraId="0000002C">
            <w:pPr>
              <w:spacing w:after="0" w:line="240" w:lineRule="auto"/>
              <w:jc w:val="both"/>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widowControl w:val="0"/>
              <w:spacing w:after="0" w:line="276"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39465" cy="1605347"/>
                  <wp:effectExtent b="0" l="0" r="0" t="0"/>
                  <wp:docPr id="34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339465" cy="1605347"/>
                          </a:xfrm>
                          <a:prstGeom prst="rect"/>
                          <a:ln/>
                        </pic:spPr>
                      </pic:pic>
                    </a:graphicData>
                  </a:graphic>
                </wp:inline>
              </w:drawing>
            </w:r>
            <w:r w:rsidDel="00000000" w:rsidR="00000000" w:rsidRPr="00000000">
              <w:rPr>
                <w:rtl w:val="0"/>
              </w:rPr>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E">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F">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31">
      <w:pPr>
        <w:spacing w:after="0" w:line="240" w:lineRule="auto"/>
        <w:ind w:left="-708" w:firstLine="0"/>
        <w:jc w:val="center"/>
        <w:rPr>
          <w:rFonts w:ascii="Arial" w:cs="Arial" w:eastAsia="Arial" w:hAnsi="Arial"/>
          <w:b w:val="1"/>
          <w:sz w:val="24"/>
          <w:szCs w:val="24"/>
        </w:rPr>
      </w:pPr>
      <w:bookmarkStart w:colFirst="0" w:colLast="0" w:name="_heading=h.57j57ri8u14" w:id="1"/>
      <w:bookmarkEnd w:id="1"/>
      <w:r w:rsidDel="00000000" w:rsidR="00000000" w:rsidRPr="00000000">
        <w:rPr>
          <w:rtl w:val="0"/>
        </w:rPr>
      </w:r>
    </w:p>
    <w:p w:rsidR="00000000" w:rsidDel="00000000" w:rsidP="00000000" w:rsidRDefault="00000000" w:rsidRPr="00000000" w14:paraId="00000032">
      <w:pPr>
        <w:spacing w:after="0" w:line="240" w:lineRule="auto"/>
        <w:ind w:left="-708" w:firstLine="0"/>
        <w:jc w:val="left"/>
        <w:rPr>
          <w:rFonts w:ascii="Arial" w:cs="Arial" w:eastAsia="Arial" w:hAnsi="Arial"/>
          <w:b w:val="1"/>
          <w:sz w:val="24"/>
          <w:szCs w:val="24"/>
        </w:rPr>
      </w:pPr>
      <w:bookmarkStart w:colFirst="0" w:colLast="0" w:name="_heading=h.czc8ajzid5a0" w:id="2"/>
      <w:bookmarkEnd w:id="2"/>
      <w:r w:rsidDel="00000000" w:rsidR="00000000" w:rsidRPr="00000000">
        <w:rPr>
          <w:rtl w:val="0"/>
        </w:rPr>
      </w:r>
    </w:p>
    <w:p w:rsidR="00000000" w:rsidDel="00000000" w:rsidP="00000000" w:rsidRDefault="00000000" w:rsidRPr="00000000" w14:paraId="00000033">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3"/>
      <w:bookmarkEnd w:id="3"/>
      <w:r w:rsidDel="00000000" w:rsidR="00000000" w:rsidRPr="00000000">
        <w:rPr>
          <w:rFonts w:ascii="Palatino Linotype" w:cs="Palatino Linotype" w:eastAsia="Palatino Linotype" w:hAnsi="Palatino Linotype"/>
          <w:b w:val="1"/>
          <w:rtl w:val="0"/>
        </w:rPr>
        <w:t xml:space="preserve">EVALUACIÓN</w:t>
      </w:r>
    </w:p>
    <w:sdt>
      <w:sdtPr>
        <w:lock w:val="contentLocked"/>
        <w:id w:val="2046293545"/>
        <w:tag w:val="goog_rdk_0"/>
      </w:sdtPr>
      <w:sdtContent>
        <w:tbl>
          <w:tblPr>
            <w:tblStyle w:val="Table3"/>
            <w:tblW w:w="14085.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1545"/>
            <w:gridCol w:w="3030"/>
            <w:gridCol w:w="5130"/>
            <w:tblGridChange w:id="0">
              <w:tblGrid>
                <w:gridCol w:w="4380"/>
                <w:gridCol w:w="1545"/>
                <w:gridCol w:w="3030"/>
                <w:gridCol w:w="513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496378" cy="1235541"/>
                      <wp:effectExtent b="0" l="0" r="0" t="0"/>
                      <wp:docPr id="34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496378" cy="1235541"/>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24150" cy="558800"/>
                      <wp:effectExtent b="0" l="0" r="0" t="0"/>
                      <wp:docPr id="34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72415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24150" cy="1727200"/>
                      <wp:effectExtent b="0" l="0" r="0" t="0"/>
                      <wp:docPr id="34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724150" cy="172720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86977" cy="2008163"/>
                      <wp:effectExtent b="0" l="0" r="0" t="0"/>
                      <wp:docPr id="351"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486977" cy="2008163"/>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la normatividad.</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10802" cy="1230378"/>
                      <wp:effectExtent b="0" l="0" r="0" t="0"/>
                      <wp:docPr id="35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610802" cy="123037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con la normatividad vigente.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en el sitio con la brindada en oficinas centrales.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53552" cy="1176077"/>
                      <wp:effectExtent b="0" l="0" r="0" t="0"/>
                      <wp:docPr id="353"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753552" cy="1176077"/>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Mantiene información actualizada.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06052" cy="964226"/>
                      <wp:effectExtent b="0" l="0" r="0" t="0"/>
                      <wp:docPr id="35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706052" cy="964226"/>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estadística en formato CSV.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48852" cy="1355806"/>
                      <wp:effectExtent b="0" l="0" r="0" t="0"/>
                      <wp:docPr id="356"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248852" cy="1355806"/>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49136" cy="988048"/>
                      <wp:effectExtent b="0" l="0" r="0" t="0"/>
                      <wp:docPr id="354" name="image9.png"/>
                      <a:graphic>
                        <a:graphicData uri="http://schemas.openxmlformats.org/drawingml/2006/picture">
                          <pic:pic>
                            <pic:nvPicPr>
                              <pic:cNvPr id="0" name="image9.png"/>
                              <pic:cNvPicPr preferRelativeResize="0"/>
                            </pic:nvPicPr>
                            <pic:blipFill>
                              <a:blip r:embed="rId18"/>
                              <a:srcRect b="0" l="0" r="14702" t="0"/>
                              <a:stretch>
                                <a:fillRect/>
                              </a:stretch>
                            </pic:blipFill>
                            <pic:spPr>
                              <a:xfrm>
                                <a:off x="0" y="0"/>
                                <a:ext cx="3049136" cy="98804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la afluencia de visualizaciones.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9554" cy="1100748"/>
                      <wp:effectExtent b="0" l="0" r="0" t="0"/>
                      <wp:docPr id="35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159554" cy="1100748"/>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15577" cy="1046875"/>
                      <wp:effectExtent b="0" l="0" r="0" t="0"/>
                      <wp:docPr id="35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715577" cy="1046875"/>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realizar mejoras.</w:t>
                </w:r>
              </w:p>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77502" cy="1017048"/>
                      <wp:effectExtent b="0" l="0" r="0" t="0"/>
                      <wp:docPr id="358"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877502" cy="101704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 mejorado el acceso a trámites y servicios.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927100"/>
                      <wp:effectExtent b="0" l="0" r="0" t="0"/>
                      <wp:docPr id="35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331470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w:t>
                </w:r>
              </w:p>
              <w:p w:rsidR="00000000" w:rsidDel="00000000" w:rsidP="00000000" w:rsidRDefault="00000000" w:rsidRPr="00000000" w14:paraId="000000A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folletos, carteles, radio, televisión, difusión en la página institucional.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spacing w:line="276" w:lineRule="auto"/>
                  <w:rPr>
                    <w:rFonts w:ascii="Palatino Linotype" w:cs="Palatino Linotype" w:eastAsia="Palatino Linotype" w:hAnsi="Palatino Linotype"/>
                  </w:rPr>
                </w:pPr>
                <w:r w:rsidDel="00000000" w:rsidR="00000000" w:rsidRPr="00000000">
                  <w:rPr>
                    <w:rFonts w:ascii="Arial" w:cs="Arial" w:eastAsia="Arial" w:hAnsi="Arial"/>
                  </w:rPr>
                  <w:drawing>
                    <wp:inline distB="114300" distT="114300" distL="114300" distR="114300">
                      <wp:extent cx="1439228" cy="1918151"/>
                      <wp:effectExtent b="0" l="0" r="0" t="0"/>
                      <wp:docPr id="360"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439228" cy="1918151"/>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677353" cy="1260281"/>
                      <wp:effectExtent b="0" l="0" r="0" t="0"/>
                      <wp:docPr id="361"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1677353" cy="1260281"/>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0">
      <w:pPr>
        <w:spacing w:after="240" w:line="276" w:lineRule="auto"/>
        <w:ind w:left="-708" w:firstLine="0"/>
        <w:rPr>
          <w:rFonts w:ascii="Palatino Linotype" w:cs="Palatino Linotype" w:eastAsia="Palatino Linotype" w:hAnsi="Palatino Linotype"/>
          <w:b w:val="1"/>
        </w:rPr>
      </w:pPr>
      <w:bookmarkStart w:colFirst="0" w:colLast="0" w:name="_heading=h.uye03zr0ncmu" w:id="4"/>
      <w:bookmarkEnd w:id="4"/>
      <w:r w:rsidDel="00000000" w:rsidR="00000000" w:rsidRPr="00000000">
        <w:rPr>
          <w:rtl w:val="0"/>
        </w:rPr>
      </w:r>
    </w:p>
    <w:p w:rsidR="00000000" w:rsidDel="00000000" w:rsidP="00000000" w:rsidRDefault="00000000" w:rsidRPr="00000000" w14:paraId="000000B1">
      <w:pPr>
        <w:spacing w:after="0" w:line="240" w:lineRule="auto"/>
        <w:ind w:left="-708" w:firstLine="0"/>
        <w:jc w:val="center"/>
        <w:rPr>
          <w:rFonts w:ascii="Arial" w:cs="Arial" w:eastAsia="Arial" w:hAnsi="Arial"/>
          <w:b w:val="1"/>
          <w:sz w:val="24"/>
          <w:szCs w:val="24"/>
        </w:rPr>
      </w:pPr>
      <w:bookmarkStart w:colFirst="0" w:colLast="0" w:name="_heading=h.17fd6lxr0aex" w:id="5"/>
      <w:bookmarkEnd w:id="5"/>
      <w:r w:rsidDel="00000000" w:rsidR="00000000" w:rsidRPr="00000000">
        <w:rPr>
          <w:rtl w:val="0"/>
        </w:rPr>
      </w:r>
    </w:p>
    <w:p w:rsidR="00000000" w:rsidDel="00000000" w:rsidP="00000000" w:rsidRDefault="00000000" w:rsidRPr="00000000" w14:paraId="000000B2">
      <w:pPr>
        <w:jc w:val="both"/>
        <w:rPr>
          <w:rFonts w:ascii="Arial" w:cs="Arial" w:eastAsia="Arial" w:hAnsi="Arial"/>
        </w:rPr>
      </w:pPr>
      <w:bookmarkStart w:colFirst="0" w:colLast="0" w:name="_heading=h.1fob9te" w:id="6"/>
      <w:bookmarkEnd w:id="6"/>
      <w:r w:rsidDel="00000000" w:rsidR="00000000" w:rsidRPr="00000000">
        <w:rPr>
          <w:rtl w:val="0"/>
        </w:rPr>
      </w:r>
    </w:p>
    <w:p w:rsidR="00000000" w:rsidDel="00000000" w:rsidP="00000000" w:rsidRDefault="00000000" w:rsidRPr="00000000" w14:paraId="000000B3">
      <w:pPr>
        <w:jc w:val="both"/>
        <w:rPr>
          <w:rFonts w:ascii="Arial" w:cs="Arial" w:eastAsia="Arial" w:hAnsi="Arial"/>
        </w:rPr>
      </w:pPr>
      <w:r w:rsidDel="00000000" w:rsidR="00000000" w:rsidRPr="00000000">
        <w:rPr>
          <w:rtl w:val="0"/>
        </w:rPr>
      </w:r>
    </w:p>
    <w:sectPr>
      <w:headerReference r:id="rId25" w:type="default"/>
      <w:footerReference r:id="rId26"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62" name="image16.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6.png"/>
                  <pic:cNvPicPr preferRelativeResize="0"/>
                </pic:nvPicPr>
                <pic:blipFill>
                  <a:blip r:embed="rId1"/>
                  <a:srcRect b="25357" l="27473" r="25000" t="5794"/>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-1027743</wp:posOffset>
          </wp:positionH>
          <wp:positionV relativeFrom="paragraph">
            <wp:posOffset>-85722</wp:posOffset>
          </wp:positionV>
          <wp:extent cx="10010775" cy="7663498"/>
          <wp:effectExtent b="0" l="0" r="0" t="0"/>
          <wp:wrapNone/>
          <wp:docPr descr="Imagen que contiene Gráfico de superficie&#10;&#10;Descripción generada automáticamente" id="363"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2"/>
                  <a:srcRect b="0" l="0" r="0" t="0"/>
                  <a:stretch>
                    <a:fillRect/>
                  </a:stretch>
                </pic:blipFill>
                <pic:spPr>
                  <a:xfrm>
                    <a:off x="0" y="0"/>
                    <a:ext cx="10010775" cy="766349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2.png"/><Relationship Id="rId24" Type="http://schemas.openxmlformats.org/officeDocument/2006/relationships/image" Target="media/image19.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hyperlink" Target="https://infoestadisticapj.pjedomex.gob.mx/geoestadistica/Reporte/index2.html" TargetMode="External"/><Relationship Id="rId11" Type="http://schemas.openxmlformats.org/officeDocument/2006/relationships/image" Target="media/image11.png"/><Relationship Id="rId10" Type="http://schemas.openxmlformats.org/officeDocument/2006/relationships/image" Target="media/image13.png"/><Relationship Id="rId13" Type="http://schemas.openxmlformats.org/officeDocument/2006/relationships/image" Target="media/image15.png"/><Relationship Id="rId12" Type="http://schemas.openxmlformats.org/officeDocument/2006/relationships/image" Target="media/image4.png"/><Relationship Id="rId15" Type="http://schemas.openxmlformats.org/officeDocument/2006/relationships/image" Target="media/image17.png"/><Relationship Id="rId14" Type="http://schemas.openxmlformats.org/officeDocument/2006/relationships/image" Target="media/image12.png"/><Relationship Id="rId17" Type="http://schemas.openxmlformats.org/officeDocument/2006/relationships/image" Target="media/image14.png"/><Relationship Id="rId16" Type="http://schemas.openxmlformats.org/officeDocument/2006/relationships/image" Target="media/image5.png"/><Relationship Id="rId19" Type="http://schemas.openxmlformats.org/officeDocument/2006/relationships/image" Target="media/image10.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g6hIAWmbGKa9dQeXwh7PRatmjA==">CgMxLjAaHwoBMBIaChgICVIUChJ0YWJsZS45c2NwcG02ZWhmYW0yCWguMzBqMHpsbDINaC41N2o1N3JpOHUxNDIOaC5jemM4YWp6aWQ1YTAyDmgueTJmZG5ib2Z0aDI5Mg5oLnV5ZTAzenIwbmNtdTIOaC4xN2ZkNmx4cjBhZXgyCWguMWZvYjl0ZTgAciExeTFNRkdwTUNnY0pDYkhUR19PcWhrd3NZblZWMmx2V3I=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